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C9" w:rsidRDefault="00A80237">
      <w:pPr>
        <w:spacing w:after="0" w:line="259" w:lineRule="auto"/>
        <w:ind w:left="243" w:right="0" w:firstLine="0"/>
        <w:jc w:val="center"/>
      </w:pPr>
      <w:r>
        <w:rPr>
          <w:b/>
          <w:sz w:val="28"/>
        </w:rPr>
        <w:t xml:space="preserve">  </w:t>
      </w:r>
    </w:p>
    <w:p w:rsidR="008960C6" w:rsidRDefault="008960C6">
      <w:pPr>
        <w:spacing w:after="0" w:line="259" w:lineRule="auto"/>
        <w:ind w:left="106" w:right="0" w:firstLine="0"/>
        <w:jc w:val="center"/>
        <w:rPr>
          <w:rFonts w:ascii="Tahoma" w:eastAsia="Tahoma" w:hAnsi="Tahoma" w:cs="Tahoma"/>
          <w:b/>
          <w:sz w:val="28"/>
        </w:rPr>
      </w:pPr>
      <w:r>
        <w:rPr>
          <w:noProof/>
        </w:rPr>
        <w:drawing>
          <wp:inline distT="0" distB="0" distL="0" distR="0" wp14:anchorId="7F8C3D29" wp14:editId="42133D50">
            <wp:extent cx="5605145" cy="520763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5605145" cy="5207635"/>
                    </a:xfrm>
                    <a:prstGeom prst="rect">
                      <a:avLst/>
                    </a:prstGeom>
                  </pic:spPr>
                </pic:pic>
              </a:graphicData>
            </a:graphic>
          </wp:inline>
        </w:drawing>
      </w:r>
    </w:p>
    <w:p w:rsidR="008471C9" w:rsidRPr="008960C6" w:rsidRDefault="00A80237">
      <w:pPr>
        <w:spacing w:after="0" w:line="259" w:lineRule="auto"/>
        <w:ind w:left="106" w:right="0" w:firstLine="0"/>
        <w:jc w:val="center"/>
        <w:rPr>
          <w:rFonts w:ascii="Century Gothic" w:eastAsia="Tahoma" w:hAnsi="Century Gothic" w:cs="Tahoma"/>
          <w:b/>
          <w:color w:val="808080" w:themeColor="background1" w:themeShade="80"/>
          <w:sz w:val="96"/>
          <w:szCs w:val="96"/>
        </w:rPr>
      </w:pPr>
      <w:r w:rsidRPr="008960C6">
        <w:rPr>
          <w:rFonts w:ascii="Century Gothic" w:eastAsia="Tahoma" w:hAnsi="Century Gothic" w:cs="Tahoma"/>
          <w:b/>
          <w:color w:val="808080" w:themeColor="background1" w:themeShade="80"/>
          <w:sz w:val="96"/>
          <w:szCs w:val="96"/>
        </w:rPr>
        <w:t xml:space="preserve">Charges &amp; Remissions Policy </w:t>
      </w:r>
    </w:p>
    <w:p w:rsidR="008960C6" w:rsidRDefault="008960C6" w:rsidP="008960C6">
      <w:pPr>
        <w:spacing w:after="0" w:line="259" w:lineRule="auto"/>
        <w:ind w:left="106" w:right="0" w:firstLine="0"/>
        <w:rPr>
          <w:rFonts w:ascii="Century Gothic" w:eastAsia="Tahoma" w:hAnsi="Century Gothic" w:cs="Tahoma"/>
          <w:b/>
          <w:sz w:val="96"/>
          <w:szCs w:val="96"/>
        </w:rPr>
      </w:pPr>
    </w:p>
    <w:p w:rsidR="008960C6" w:rsidRPr="008960C6" w:rsidRDefault="008960C6" w:rsidP="008960C6">
      <w:pPr>
        <w:spacing w:after="0" w:line="259" w:lineRule="auto"/>
        <w:ind w:left="106" w:right="0" w:firstLine="0"/>
        <w:rPr>
          <w:rFonts w:ascii="Century Gothic" w:hAnsi="Century Gothic"/>
          <w:sz w:val="96"/>
          <w:szCs w:val="96"/>
        </w:rPr>
      </w:pPr>
    </w:p>
    <w:p w:rsidR="008471C9" w:rsidRDefault="00A80237">
      <w:pPr>
        <w:spacing w:after="0" w:line="259" w:lineRule="auto"/>
        <w:ind w:left="168" w:right="0" w:firstLine="0"/>
        <w:jc w:val="center"/>
      </w:pPr>
      <w:r>
        <w:rPr>
          <w:rFonts w:ascii="Tahoma" w:eastAsia="Tahoma" w:hAnsi="Tahoma" w:cs="Tahoma"/>
          <w:b/>
          <w:sz w:val="22"/>
        </w:rPr>
        <w:t xml:space="preserve"> </w:t>
      </w:r>
    </w:p>
    <w:p w:rsidR="008471C9" w:rsidRDefault="00A80237">
      <w:pPr>
        <w:spacing w:after="17" w:line="259" w:lineRule="auto"/>
        <w:ind w:left="168" w:right="0" w:firstLine="0"/>
        <w:jc w:val="center"/>
      </w:pPr>
      <w:r>
        <w:rPr>
          <w:rFonts w:ascii="Tahoma" w:eastAsia="Tahoma" w:hAnsi="Tahoma" w:cs="Tahoma"/>
          <w:b/>
          <w:sz w:val="22"/>
        </w:rPr>
        <w:t xml:space="preserve"> </w:t>
      </w:r>
    </w:p>
    <w:p w:rsidR="008471C9" w:rsidRDefault="00A80237">
      <w:pPr>
        <w:pStyle w:val="Heading1"/>
        <w:ind w:left="-5"/>
        <w:rPr>
          <w:rFonts w:ascii="Century Gothic" w:hAnsi="Century Gothic"/>
          <w:sz w:val="20"/>
          <w:szCs w:val="20"/>
        </w:rPr>
      </w:pPr>
      <w:r w:rsidRPr="008960C6">
        <w:rPr>
          <w:rFonts w:ascii="Century Gothic" w:hAnsi="Century Gothic"/>
          <w:sz w:val="20"/>
          <w:szCs w:val="20"/>
        </w:rPr>
        <w:lastRenderedPageBreak/>
        <w:t xml:space="preserve">Aim </w:t>
      </w:r>
    </w:p>
    <w:p w:rsidR="008960C6" w:rsidRPr="008960C6" w:rsidRDefault="008960C6" w:rsidP="008960C6"/>
    <w:p w:rsidR="008471C9" w:rsidRPr="008960C6" w:rsidRDefault="00A80237">
      <w:pPr>
        <w:ind w:left="-5"/>
        <w:rPr>
          <w:rFonts w:ascii="Century Gothic" w:hAnsi="Century Gothic"/>
          <w:sz w:val="20"/>
          <w:szCs w:val="20"/>
        </w:rPr>
      </w:pPr>
      <w:r w:rsidRPr="008960C6">
        <w:rPr>
          <w:rFonts w:ascii="Century Gothic" w:hAnsi="Century Gothic"/>
          <w:sz w:val="20"/>
          <w:szCs w:val="20"/>
        </w:rPr>
        <w:t xml:space="preserve">To describe the policy of the Governors to making charges for various School activities, and </w:t>
      </w:r>
      <w:r w:rsidRPr="008960C6">
        <w:rPr>
          <w:rFonts w:ascii="Century Gothic" w:hAnsi="Century Gothic"/>
          <w:sz w:val="20"/>
          <w:szCs w:val="20"/>
        </w:rPr>
        <w:t>when charges will be made.  The policy has been informed by the Department for Education guidance, sections 449-462 of the Education Act 1996 which sets out the law on charging for school activities in schools maintained by the local authorities in England</w:t>
      </w:r>
      <w:r w:rsidRPr="008960C6">
        <w:rPr>
          <w:rFonts w:ascii="Century Gothic" w:hAnsi="Century Gothic"/>
          <w:sz w:val="20"/>
          <w:szCs w:val="20"/>
        </w:rPr>
        <w:t xml:space="preserve">.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Definition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T</w:t>
      </w:r>
      <w:r w:rsidR="008960C6">
        <w:rPr>
          <w:rFonts w:ascii="Century Gothic" w:hAnsi="Century Gothic"/>
          <w:sz w:val="20"/>
          <w:szCs w:val="20"/>
        </w:rPr>
        <w:t>he school day is defined as 8.45</w:t>
      </w:r>
      <w:bookmarkStart w:id="0" w:name="_GoBack"/>
      <w:bookmarkEnd w:id="0"/>
      <w:r w:rsidRPr="008960C6">
        <w:rPr>
          <w:rFonts w:ascii="Century Gothic" w:hAnsi="Century Gothic"/>
          <w:sz w:val="20"/>
          <w:szCs w:val="20"/>
        </w:rPr>
        <w:t xml:space="preserve"> am until 3.25 pm (Infants) and 3.30 pm (</w:t>
      </w:r>
      <w:proofErr w:type="gramStart"/>
      <w:r w:rsidRPr="008960C6">
        <w:rPr>
          <w:rFonts w:ascii="Century Gothic" w:hAnsi="Century Gothic"/>
          <w:sz w:val="20"/>
          <w:szCs w:val="20"/>
        </w:rPr>
        <w:t>Juniors)  The</w:t>
      </w:r>
      <w:proofErr w:type="gramEnd"/>
      <w:r w:rsidRPr="008960C6">
        <w:rPr>
          <w:rFonts w:ascii="Century Gothic" w:hAnsi="Century Gothic"/>
          <w:sz w:val="20"/>
          <w:szCs w:val="20"/>
        </w:rPr>
        <w:t xml:space="preserve"> midday break does not form part of the school day. </w:t>
      </w:r>
    </w:p>
    <w:p w:rsidR="008471C9" w:rsidRPr="008960C6" w:rsidRDefault="008471C9">
      <w:pPr>
        <w:spacing w:after="19" w:line="259" w:lineRule="auto"/>
        <w:ind w:left="0" w:right="0" w:firstLine="0"/>
        <w:rPr>
          <w:rFonts w:ascii="Century Gothic" w:hAnsi="Century Gothic"/>
          <w:sz w:val="20"/>
          <w:szCs w:val="20"/>
        </w:rPr>
      </w:pP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Responsibilities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The Head teacher will ensure that staff are familiar with and correctly apply the policy.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The Governors will review the policy annually.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Parents wil</w:t>
      </w:r>
      <w:r w:rsidRPr="008960C6">
        <w:rPr>
          <w:rFonts w:ascii="Century Gothic" w:hAnsi="Century Gothic"/>
          <w:sz w:val="20"/>
          <w:szCs w:val="20"/>
        </w:rPr>
        <w:t xml:space="preserve">l be made aware of the policy through the School Prospectus and website.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Policy Statement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During the school day, all activities that are a necessary part of the National Curriculum </w:t>
      </w:r>
      <w:proofErr w:type="gramStart"/>
      <w:r w:rsidRPr="008960C6">
        <w:rPr>
          <w:rFonts w:ascii="Century Gothic" w:hAnsi="Century Gothic"/>
          <w:sz w:val="20"/>
          <w:szCs w:val="20"/>
        </w:rPr>
        <w:t>plus</w:t>
      </w:r>
      <w:proofErr w:type="gramEnd"/>
      <w:r w:rsidRPr="008960C6">
        <w:rPr>
          <w:rFonts w:ascii="Century Gothic" w:hAnsi="Century Gothic"/>
          <w:sz w:val="20"/>
          <w:szCs w:val="20"/>
        </w:rPr>
        <w:t xml:space="preserve"> Religious Education will be provided free of charge.  This includes any materials, equipment and transport to take pupils between the school and the activity.  </w:t>
      </w:r>
      <w:r w:rsidRPr="008960C6">
        <w:rPr>
          <w:rFonts w:ascii="Century Gothic" w:hAnsi="Century Gothic"/>
          <w:sz w:val="20"/>
          <w:szCs w:val="20"/>
        </w:rPr>
        <w:t>It excludes charges made for teaching an individual pupil or groups of pupils to play a musical instrument.  Unless the teaching is essential part of either the National Curriculum or a public examination syllabus being followed by the pupil (s), school wi</w:t>
      </w:r>
      <w:r w:rsidRPr="008960C6">
        <w:rPr>
          <w:rFonts w:ascii="Century Gothic" w:hAnsi="Century Gothic"/>
          <w:sz w:val="20"/>
          <w:szCs w:val="20"/>
        </w:rPr>
        <w:t xml:space="preserve">ll make a charge.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Voluntary contributions may be sought for activities during the school day which entail additional costs.  In these circumstances no pupil will be prevented from participating because his/her parents cannot or will not make a contribut</w:t>
      </w:r>
      <w:r w:rsidRPr="008960C6">
        <w:rPr>
          <w:rFonts w:ascii="Century Gothic" w:hAnsi="Century Gothic"/>
          <w:sz w:val="20"/>
          <w:szCs w:val="20"/>
        </w:rPr>
        <w:t xml:space="preserve">ion.  If insufficient funds are </w:t>
      </w:r>
      <w:proofErr w:type="gramStart"/>
      <w:r w:rsidRPr="008960C6">
        <w:rPr>
          <w:rFonts w:ascii="Century Gothic" w:hAnsi="Century Gothic"/>
          <w:sz w:val="20"/>
          <w:szCs w:val="20"/>
        </w:rPr>
        <w:t>available</w:t>
      </w:r>
      <w:proofErr w:type="gramEnd"/>
      <w:r w:rsidRPr="008960C6">
        <w:rPr>
          <w:rFonts w:ascii="Century Gothic" w:hAnsi="Century Gothic"/>
          <w:sz w:val="20"/>
          <w:szCs w:val="20"/>
        </w:rPr>
        <w:t xml:space="preserve"> it may be necessary to curtail or cancel activities.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Optional Activities Outside of the School Day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We will not charge a fee for optional, extra activities provided outside of the school, for example sports clubs, homework, or coding club, if they are run by a member of staff volunteering to run such a club without asking for payment.  However, we reserv</w:t>
      </w:r>
      <w:r w:rsidRPr="008960C6">
        <w:rPr>
          <w:rFonts w:ascii="Century Gothic" w:hAnsi="Century Gothic"/>
          <w:sz w:val="20"/>
          <w:szCs w:val="20"/>
        </w:rPr>
        <w:t xml:space="preserve">e the right to offer activities run by outside coaches e.g. Amber Valley Sports Partnership or those with specific outlay each week e.g. cooking club, which would require a payment.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Education Partly During the School Day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If a non-residential activity</w:t>
      </w:r>
      <w:r w:rsidRPr="008960C6">
        <w:rPr>
          <w:rFonts w:ascii="Century Gothic" w:hAnsi="Century Gothic"/>
          <w:sz w:val="20"/>
          <w:szCs w:val="20"/>
        </w:rPr>
        <w:t xml:space="preserve"> happens partly inside the school day and partly outside of the school </w:t>
      </w:r>
      <w:proofErr w:type="gramStart"/>
      <w:r w:rsidRPr="008960C6">
        <w:rPr>
          <w:rFonts w:ascii="Century Gothic" w:hAnsi="Century Gothic"/>
          <w:sz w:val="20"/>
          <w:szCs w:val="20"/>
        </w:rPr>
        <w:t>day</w:t>
      </w:r>
      <w:proofErr w:type="gramEnd"/>
      <w:r w:rsidRPr="008960C6">
        <w:rPr>
          <w:rFonts w:ascii="Century Gothic" w:hAnsi="Century Gothic"/>
          <w:sz w:val="20"/>
          <w:szCs w:val="20"/>
        </w:rPr>
        <w:t xml:space="preserve"> there will be no charge if most of the time to be spent on the activity falls within the school day.  Conversely, if the bigger proportion of time spent falls outside of the normal </w:t>
      </w:r>
      <w:r w:rsidRPr="008960C6">
        <w:rPr>
          <w:rFonts w:ascii="Century Gothic" w:hAnsi="Century Gothic"/>
          <w:sz w:val="20"/>
          <w:szCs w:val="20"/>
        </w:rPr>
        <w:t xml:space="preserve">school day, charges could be made. When such activities are arranged, parents will be told how the charges will be calculated. </w:t>
      </w:r>
    </w:p>
    <w:p w:rsidR="008471C9" w:rsidRPr="008960C6" w:rsidRDefault="00A80237">
      <w:pPr>
        <w:spacing w:after="2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proofErr w:type="gramStart"/>
      <w:r w:rsidRPr="008960C6">
        <w:rPr>
          <w:rFonts w:ascii="Century Gothic" w:eastAsia="Times New Roman" w:hAnsi="Century Gothic" w:cs="Times New Roman"/>
          <w:b w:val="0"/>
          <w:i w:val="0"/>
          <w:sz w:val="20"/>
          <w:szCs w:val="20"/>
        </w:rPr>
        <w:t>.</w:t>
      </w:r>
      <w:proofErr w:type="spellStart"/>
      <w:r w:rsidRPr="008960C6">
        <w:rPr>
          <w:rFonts w:ascii="Century Gothic" w:hAnsi="Century Gothic"/>
          <w:sz w:val="20"/>
          <w:szCs w:val="20"/>
        </w:rPr>
        <w:t>Residentials</w:t>
      </w:r>
      <w:proofErr w:type="spellEnd"/>
      <w:proofErr w:type="gramEnd"/>
      <w:r w:rsidRPr="008960C6">
        <w:rPr>
          <w:rFonts w:ascii="Century Gothic" w:hAnsi="Century Gothic"/>
          <w:sz w:val="20"/>
          <w:szCs w:val="20"/>
        </w:rPr>
        <w:t xml:space="preserve">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Charges will be made for board, lodging, travel and activities.  Representations made by parents who are elig</w:t>
      </w:r>
      <w:r w:rsidRPr="008960C6">
        <w:rPr>
          <w:rFonts w:ascii="Century Gothic" w:hAnsi="Century Gothic"/>
          <w:sz w:val="20"/>
          <w:szCs w:val="20"/>
        </w:rPr>
        <w:t xml:space="preserve">ible for benefits will be considered in order that no child is disadvantaged.  Parents will be offered a payment card in order to pay small, regular amounts, so long as payment is received in full before the </w:t>
      </w:r>
      <w:r w:rsidRPr="008960C6">
        <w:rPr>
          <w:rFonts w:ascii="Century Gothic" w:hAnsi="Century Gothic"/>
          <w:sz w:val="20"/>
          <w:szCs w:val="20"/>
        </w:rPr>
        <w:lastRenderedPageBreak/>
        <w:t>commencement of the trip. Children in receipt of</w:t>
      </w:r>
      <w:r w:rsidRPr="008960C6">
        <w:rPr>
          <w:rFonts w:ascii="Century Gothic" w:hAnsi="Century Gothic"/>
          <w:sz w:val="20"/>
          <w:szCs w:val="20"/>
        </w:rPr>
        <w:t xml:space="preserve"> Pupil Premium Funding may qualify for support with the cost of any </w:t>
      </w:r>
      <w:proofErr w:type="spellStart"/>
      <w:r w:rsidRPr="008960C6">
        <w:rPr>
          <w:rFonts w:ascii="Century Gothic" w:hAnsi="Century Gothic"/>
          <w:sz w:val="20"/>
          <w:szCs w:val="20"/>
        </w:rPr>
        <w:t>residentials</w:t>
      </w:r>
      <w:proofErr w:type="spellEnd"/>
      <w:r w:rsidRPr="008960C6">
        <w:rPr>
          <w:rFonts w:ascii="Century Gothic" w:hAnsi="Century Gothic"/>
          <w:sz w:val="20"/>
          <w:szCs w:val="20"/>
        </w:rPr>
        <w:t xml:space="preserve">.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Calculating Charges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When charges are made for any activity, whether during or outside of the school day, they will be based on the actual costs incurred, divided by the</w:t>
      </w:r>
      <w:r w:rsidRPr="008960C6">
        <w:rPr>
          <w:rFonts w:ascii="Century Gothic" w:hAnsi="Century Gothic"/>
          <w:sz w:val="20"/>
          <w:szCs w:val="20"/>
        </w:rPr>
        <w:t xml:space="preserve"> number of pupils participating.  There will be no levy on those who can pay to support those who can’t or won’t.  Support for cases of hardship will come through voluntary contributions and fundraising.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Parents who would qualify for support are those w</w:t>
      </w:r>
      <w:r w:rsidRPr="008960C6">
        <w:rPr>
          <w:rFonts w:ascii="Century Gothic" w:hAnsi="Century Gothic"/>
          <w:sz w:val="20"/>
          <w:szCs w:val="20"/>
        </w:rPr>
        <w:t xml:space="preserve">ho are in receipt of eligible benefits.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The principles of best value will be applied when planning activities that incur costs to the school and/or charges to parents.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spacing w:after="0" w:line="259" w:lineRule="auto"/>
        <w:ind w:left="-5" w:right="0"/>
        <w:rPr>
          <w:rFonts w:ascii="Century Gothic" w:hAnsi="Century Gothic"/>
          <w:sz w:val="20"/>
          <w:szCs w:val="20"/>
        </w:rPr>
      </w:pPr>
      <w:r w:rsidRPr="008960C6">
        <w:rPr>
          <w:rFonts w:ascii="Century Gothic" w:eastAsia="Arial" w:hAnsi="Century Gothic" w:cs="Arial"/>
          <w:b/>
          <w:i/>
          <w:sz w:val="20"/>
          <w:szCs w:val="20"/>
        </w:rPr>
        <w:t xml:space="preserve">Uniform Purchased from School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Charges will be made in line with the current uniform charging list.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spacing w:after="0" w:line="259" w:lineRule="auto"/>
        <w:ind w:left="-5" w:right="0"/>
        <w:rPr>
          <w:rFonts w:ascii="Century Gothic" w:hAnsi="Century Gothic"/>
          <w:sz w:val="20"/>
          <w:szCs w:val="20"/>
        </w:rPr>
      </w:pPr>
      <w:r w:rsidRPr="008960C6">
        <w:rPr>
          <w:rFonts w:ascii="Century Gothic" w:eastAsia="Arial" w:hAnsi="Century Gothic" w:cs="Arial"/>
          <w:b/>
          <w:i/>
          <w:sz w:val="20"/>
          <w:szCs w:val="20"/>
        </w:rPr>
        <w:t xml:space="preserve">Breakages and Damage to School Building, Furniture or Property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Wilful damage may be charged to parents.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Music Tuition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In cases of hardship, the governors will consider in th</w:t>
      </w:r>
      <w:r w:rsidRPr="008960C6">
        <w:rPr>
          <w:rFonts w:ascii="Century Gothic" w:hAnsi="Century Gothic"/>
          <w:sz w:val="20"/>
          <w:szCs w:val="20"/>
        </w:rPr>
        <w:t xml:space="preserve">eir absolute discretion the remission of fees (either in full or part) for those pupils who they consider will benefit from such tuition, this may also include children in receipt of Pupil Premium Funding.  Further information can be found in the document </w:t>
      </w:r>
      <w:r w:rsidRPr="008960C6">
        <w:rPr>
          <w:rFonts w:ascii="Century Gothic" w:hAnsi="Century Gothic"/>
          <w:sz w:val="20"/>
          <w:szCs w:val="20"/>
        </w:rPr>
        <w:t xml:space="preserve">‘Accessing Standards Fund Subsidies for Instrumental Tuition in Derbyshire and Derby City Schools,’ available from the School Office.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Eligible Benefits</w:t>
      </w:r>
      <w:r w:rsidRPr="008960C6">
        <w:rPr>
          <w:rFonts w:ascii="Century Gothic" w:hAnsi="Century Gothic"/>
          <w:b w:val="0"/>
          <w:sz w:val="20"/>
          <w:szCs w:val="20"/>
        </w:rPr>
        <w:t xml:space="preserve">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i/>
          <w:sz w:val="20"/>
          <w:szCs w:val="20"/>
        </w:rPr>
        <w:t xml:space="preserve"> </w:t>
      </w:r>
    </w:p>
    <w:p w:rsidR="008471C9" w:rsidRPr="008960C6" w:rsidRDefault="00A80237">
      <w:pPr>
        <w:numPr>
          <w:ilvl w:val="0"/>
          <w:numId w:val="1"/>
        </w:numPr>
        <w:ind w:right="0" w:hanging="360"/>
        <w:rPr>
          <w:rFonts w:ascii="Century Gothic" w:hAnsi="Century Gothic"/>
          <w:sz w:val="20"/>
          <w:szCs w:val="20"/>
        </w:rPr>
      </w:pPr>
      <w:r w:rsidRPr="008960C6">
        <w:rPr>
          <w:rFonts w:ascii="Century Gothic" w:hAnsi="Century Gothic"/>
          <w:sz w:val="20"/>
          <w:szCs w:val="20"/>
        </w:rPr>
        <w:t xml:space="preserve">Income Support </w:t>
      </w:r>
    </w:p>
    <w:p w:rsidR="008471C9" w:rsidRPr="008960C6" w:rsidRDefault="00A80237">
      <w:pPr>
        <w:numPr>
          <w:ilvl w:val="0"/>
          <w:numId w:val="1"/>
        </w:numPr>
        <w:ind w:right="0" w:hanging="360"/>
        <w:rPr>
          <w:rFonts w:ascii="Century Gothic" w:hAnsi="Century Gothic"/>
          <w:sz w:val="20"/>
          <w:szCs w:val="20"/>
        </w:rPr>
      </w:pPr>
      <w:r w:rsidRPr="008960C6">
        <w:rPr>
          <w:rFonts w:ascii="Century Gothic" w:hAnsi="Century Gothic"/>
          <w:sz w:val="20"/>
          <w:szCs w:val="20"/>
        </w:rPr>
        <w:t xml:space="preserve">Income-based Jobseeker’s Allowance </w:t>
      </w:r>
    </w:p>
    <w:p w:rsidR="008471C9" w:rsidRPr="008960C6" w:rsidRDefault="00A80237">
      <w:pPr>
        <w:numPr>
          <w:ilvl w:val="0"/>
          <w:numId w:val="1"/>
        </w:numPr>
        <w:ind w:right="0" w:hanging="360"/>
        <w:rPr>
          <w:rFonts w:ascii="Century Gothic" w:hAnsi="Century Gothic"/>
          <w:sz w:val="20"/>
          <w:szCs w:val="20"/>
        </w:rPr>
      </w:pPr>
      <w:r w:rsidRPr="008960C6">
        <w:rPr>
          <w:rFonts w:ascii="Century Gothic" w:hAnsi="Century Gothic"/>
          <w:sz w:val="20"/>
          <w:szCs w:val="20"/>
        </w:rPr>
        <w:t xml:space="preserve">Income related Employment and Support Allowance </w:t>
      </w:r>
    </w:p>
    <w:p w:rsidR="008471C9" w:rsidRPr="008960C6" w:rsidRDefault="00A80237">
      <w:pPr>
        <w:numPr>
          <w:ilvl w:val="0"/>
          <w:numId w:val="1"/>
        </w:numPr>
        <w:ind w:right="0" w:hanging="360"/>
        <w:rPr>
          <w:rFonts w:ascii="Century Gothic" w:hAnsi="Century Gothic"/>
          <w:sz w:val="20"/>
          <w:szCs w:val="20"/>
        </w:rPr>
      </w:pPr>
      <w:r w:rsidRPr="008960C6">
        <w:rPr>
          <w:rFonts w:ascii="Century Gothic" w:hAnsi="Century Gothic"/>
          <w:sz w:val="20"/>
          <w:szCs w:val="20"/>
        </w:rPr>
        <w:t xml:space="preserve">Support under part VI of the Immigration and Asylum Act 1999 </w:t>
      </w:r>
    </w:p>
    <w:p w:rsidR="008471C9" w:rsidRPr="008960C6" w:rsidRDefault="00A80237">
      <w:pPr>
        <w:numPr>
          <w:ilvl w:val="0"/>
          <w:numId w:val="1"/>
        </w:numPr>
        <w:ind w:right="0" w:hanging="360"/>
        <w:rPr>
          <w:rFonts w:ascii="Century Gothic" w:hAnsi="Century Gothic"/>
          <w:sz w:val="20"/>
          <w:szCs w:val="20"/>
        </w:rPr>
      </w:pPr>
      <w:r w:rsidRPr="008960C6">
        <w:rPr>
          <w:rFonts w:ascii="Century Gothic" w:hAnsi="Century Gothic"/>
          <w:sz w:val="20"/>
          <w:szCs w:val="20"/>
        </w:rPr>
        <w:t xml:space="preserve">The Guarantee element of the State Pension Credit </w:t>
      </w:r>
    </w:p>
    <w:p w:rsidR="008471C9" w:rsidRPr="008960C6" w:rsidRDefault="00A80237">
      <w:pPr>
        <w:numPr>
          <w:ilvl w:val="0"/>
          <w:numId w:val="1"/>
        </w:numPr>
        <w:ind w:right="0" w:hanging="360"/>
        <w:rPr>
          <w:rFonts w:ascii="Century Gothic" w:hAnsi="Century Gothic"/>
          <w:sz w:val="20"/>
          <w:szCs w:val="20"/>
        </w:rPr>
      </w:pPr>
      <w:r w:rsidRPr="008960C6">
        <w:rPr>
          <w:rFonts w:ascii="Century Gothic" w:hAnsi="Century Gothic"/>
          <w:sz w:val="20"/>
          <w:szCs w:val="20"/>
        </w:rPr>
        <w:t xml:space="preserve">Child Tax Credit (providing that they do not also receive Working Tax Credit and have an annual income, assessed by the Inland Revenue, that does not exceed £16,190). </w:t>
      </w:r>
    </w:p>
    <w:p w:rsidR="008471C9" w:rsidRPr="008960C6" w:rsidRDefault="00A80237">
      <w:pPr>
        <w:numPr>
          <w:ilvl w:val="0"/>
          <w:numId w:val="1"/>
        </w:numPr>
        <w:ind w:right="0" w:hanging="360"/>
        <w:rPr>
          <w:rFonts w:ascii="Century Gothic" w:hAnsi="Century Gothic"/>
          <w:sz w:val="20"/>
          <w:szCs w:val="20"/>
        </w:rPr>
      </w:pPr>
      <w:r w:rsidRPr="008960C6">
        <w:rPr>
          <w:rFonts w:ascii="Century Gothic" w:hAnsi="Century Gothic"/>
          <w:sz w:val="20"/>
          <w:szCs w:val="20"/>
        </w:rPr>
        <w:t>Working Tax Credit run-on (paid for 4 weeks after you stop qualifying for Working Tax Cr</w:t>
      </w:r>
      <w:r w:rsidRPr="008960C6">
        <w:rPr>
          <w:rFonts w:ascii="Century Gothic" w:hAnsi="Century Gothic"/>
          <w:sz w:val="20"/>
          <w:szCs w:val="20"/>
        </w:rPr>
        <w:t xml:space="preserve">edit) </w:t>
      </w:r>
    </w:p>
    <w:p w:rsidR="008471C9" w:rsidRPr="008960C6" w:rsidRDefault="00A80237">
      <w:pPr>
        <w:spacing w:after="1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pStyle w:val="Heading1"/>
        <w:ind w:left="-5"/>
        <w:rPr>
          <w:rFonts w:ascii="Century Gothic" w:hAnsi="Century Gothic"/>
          <w:sz w:val="20"/>
          <w:szCs w:val="20"/>
        </w:rPr>
      </w:pPr>
      <w:r w:rsidRPr="008960C6">
        <w:rPr>
          <w:rFonts w:ascii="Century Gothic" w:hAnsi="Century Gothic"/>
          <w:sz w:val="20"/>
          <w:szCs w:val="20"/>
        </w:rPr>
        <w:t xml:space="preserve">Charging for Personal/Private Use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eastAsia="Arial" w:hAnsi="Century Gothic" w:cs="Arial"/>
          <w:b/>
          <w:i/>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Private use of the telephone will be charged at 10p per local call; 8p per minute for national calls or 28p per </w:t>
      </w:r>
      <w:proofErr w:type="gramStart"/>
      <w:r w:rsidRPr="008960C6">
        <w:rPr>
          <w:rFonts w:ascii="Century Gothic" w:hAnsi="Century Gothic"/>
          <w:sz w:val="20"/>
          <w:szCs w:val="20"/>
        </w:rPr>
        <w:t>3 minute</w:t>
      </w:r>
      <w:proofErr w:type="gramEnd"/>
      <w:r w:rsidRPr="008960C6">
        <w:rPr>
          <w:rFonts w:ascii="Century Gothic" w:hAnsi="Century Gothic"/>
          <w:sz w:val="20"/>
          <w:szCs w:val="20"/>
        </w:rPr>
        <w:t xml:space="preserve"> call to a mobile telephone.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t xml:space="preserve">Private use of the photocopier will be charged at 10p </w:t>
      </w:r>
      <w:r w:rsidRPr="008960C6">
        <w:rPr>
          <w:rFonts w:ascii="Century Gothic" w:hAnsi="Century Gothic"/>
          <w:sz w:val="20"/>
          <w:szCs w:val="20"/>
        </w:rPr>
        <w:t xml:space="preserve">per sheet for black and white and 20p per colour copy.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ind w:left="-5" w:right="0"/>
        <w:rPr>
          <w:rFonts w:ascii="Century Gothic" w:hAnsi="Century Gothic"/>
          <w:sz w:val="20"/>
          <w:szCs w:val="20"/>
        </w:rPr>
      </w:pPr>
      <w:r w:rsidRPr="008960C6">
        <w:rPr>
          <w:rFonts w:ascii="Century Gothic" w:hAnsi="Century Gothic"/>
          <w:sz w:val="20"/>
          <w:szCs w:val="20"/>
        </w:rPr>
        <w:lastRenderedPageBreak/>
        <w:t xml:space="preserve">Private use of the laminator will be charged at 15p per wallet. </w:t>
      </w:r>
    </w:p>
    <w:p w:rsidR="008471C9" w:rsidRPr="008960C6" w:rsidRDefault="00A80237">
      <w:pPr>
        <w:spacing w:after="0"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8471C9" w:rsidRPr="008960C6" w:rsidRDefault="00A80237">
      <w:pPr>
        <w:spacing w:after="39" w:line="259" w:lineRule="auto"/>
        <w:ind w:left="0" w:right="0" w:firstLine="0"/>
        <w:rPr>
          <w:rFonts w:ascii="Century Gothic" w:hAnsi="Century Gothic"/>
          <w:sz w:val="20"/>
          <w:szCs w:val="20"/>
        </w:rPr>
      </w:pPr>
      <w:r w:rsidRPr="008960C6">
        <w:rPr>
          <w:rFonts w:ascii="Century Gothic" w:hAnsi="Century Gothic"/>
          <w:sz w:val="20"/>
          <w:szCs w:val="20"/>
        </w:rPr>
        <w:t xml:space="preserve"> </w:t>
      </w:r>
    </w:p>
    <w:p w:rsidR="00A80237" w:rsidRPr="008960C6" w:rsidRDefault="00A80237" w:rsidP="008960C6">
      <w:pPr>
        <w:ind w:left="0" w:firstLine="0"/>
        <w:rPr>
          <w:rFonts w:ascii="Century Gothic" w:hAnsi="Century Gothic"/>
          <w:sz w:val="20"/>
          <w:szCs w:val="20"/>
        </w:rPr>
      </w:pPr>
    </w:p>
    <w:sectPr w:rsidR="00A80237" w:rsidRPr="008960C6" w:rsidSect="008960C6">
      <w:headerReference w:type="even" r:id="rId9"/>
      <w:headerReference w:type="default" r:id="rId10"/>
      <w:footerReference w:type="even" r:id="rId11"/>
      <w:footerReference w:type="default" r:id="rId12"/>
      <w:headerReference w:type="first" r:id="rId13"/>
      <w:footerReference w:type="first" r:id="rId14"/>
      <w:pgSz w:w="11906" w:h="16838"/>
      <w:pgMar w:top="1385" w:right="824" w:bottom="1192" w:left="720" w:header="503" w:footer="573" w:gutter="0"/>
      <w:pgBorders w:offsetFrom="page">
        <w:top w:val="single" w:sz="48" w:space="24" w:color="1F4E79" w:themeColor="accent1" w:themeShade="80"/>
        <w:left w:val="single" w:sz="48" w:space="24" w:color="1F4E79" w:themeColor="accent1" w:themeShade="80"/>
        <w:bottom w:val="single" w:sz="48" w:space="24" w:color="1F4E79" w:themeColor="accent1" w:themeShade="80"/>
        <w:right w:val="single" w:sz="48" w:space="24" w:color="1F4E79" w:themeColor="accent1" w:themeShade="8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37" w:rsidRDefault="00A80237">
      <w:pPr>
        <w:spacing w:after="0" w:line="240" w:lineRule="auto"/>
      </w:pPr>
      <w:r>
        <w:separator/>
      </w:r>
    </w:p>
  </w:endnote>
  <w:endnote w:type="continuationSeparator" w:id="0">
    <w:p w:rsidR="00A80237" w:rsidRDefault="00A8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C9" w:rsidRDefault="00A80237">
    <w:pPr>
      <w:tabs>
        <w:tab w:val="center" w:pos="4501"/>
        <w:tab w:val="center" w:pos="7864"/>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438912</wp:posOffset>
              </wp:positionH>
              <wp:positionV relativeFrom="page">
                <wp:posOffset>10024567</wp:posOffset>
              </wp:positionV>
              <wp:extent cx="6684010" cy="6096"/>
              <wp:effectExtent l="0" t="0" r="0" b="0"/>
              <wp:wrapSquare wrapText="bothSides"/>
              <wp:docPr id="3814" name="Group 381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4000" name="Shape 4000"/>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4" style="width:526.3pt;height:0.47998pt;position:absolute;mso-position-horizontal-relative:page;mso-position-horizontal:absolute;margin-left:34.56pt;mso-position-vertical-relative:page;margin-top:789.336pt;" coordsize="66840,60">
              <v:shape id="Shape 4001" style="position:absolute;width:66840;height:91;left:0;top:0;" coordsize="6684010,9144" path="m0,0l6684010,0l6684010,9144l0,9144l0,0">
                <v:stroke weight="0pt" endcap="flat" joinstyle="miter" miterlimit="10" on="false" color="#000000" opacity="0"/>
                <v:fill on="true" color="#000000"/>
              </v:shape>
              <w10:wrap type="square"/>
            </v:group>
          </w:pict>
        </mc:Fallback>
      </mc:AlternateContent>
    </w:r>
    <w:r>
      <w:t xml:space="preserve">Approved by Governors: Nov 2020 </w:t>
    </w:r>
    <w:r>
      <w:tab/>
    </w:r>
    <w:r>
      <w:fldChar w:fldCharType="begin"/>
    </w:r>
    <w:r>
      <w:instrText xml:space="preserve"> PAGE   \* MERGEFORMAT </w:instrText>
    </w:r>
    <w:r>
      <w:fldChar w:fldCharType="separate"/>
    </w:r>
    <w:r>
      <w:t>1</w:t>
    </w:r>
    <w:r>
      <w:fldChar w:fldCharType="end"/>
    </w:r>
    <w:r>
      <w:t xml:space="preserve"> </w:t>
    </w:r>
    <w:r>
      <w:tab/>
      <w:t xml:space="preserve">Review date: Nov 2021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C9" w:rsidRDefault="00A80237">
    <w:pPr>
      <w:tabs>
        <w:tab w:val="center" w:pos="4501"/>
        <w:tab w:val="center" w:pos="7864"/>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438912</wp:posOffset>
              </wp:positionH>
              <wp:positionV relativeFrom="page">
                <wp:posOffset>10024567</wp:posOffset>
              </wp:positionV>
              <wp:extent cx="6684010" cy="6096"/>
              <wp:effectExtent l="0" t="0" r="0" b="0"/>
              <wp:wrapSquare wrapText="bothSides"/>
              <wp:docPr id="3776" name="Group 3776"/>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998" name="Shape 3998"/>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6" style="width:526.3pt;height:0.47998pt;position:absolute;mso-position-horizontal-relative:page;mso-position-horizontal:absolute;margin-left:34.56pt;mso-position-vertical-relative:page;margin-top:789.336pt;" coordsize="66840,60">
              <v:shape id="Shape 3999" style="position:absolute;width:66840;height:91;left:0;top:0;" coordsize="6684010,9144" path="m0,0l6684010,0l6684010,9144l0,9144l0,0">
                <v:stroke weight="0pt" endcap="flat" joinstyle="miter" miterlimit="10" on="false" color="#000000" opacity="0"/>
                <v:fill on="true" color="#000000"/>
              </v:shape>
              <w10:wrap type="square"/>
            </v:group>
          </w:pict>
        </mc:Fallback>
      </mc:AlternateConten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C9" w:rsidRDefault="00A80237">
    <w:pPr>
      <w:tabs>
        <w:tab w:val="center" w:pos="4501"/>
        <w:tab w:val="center" w:pos="7864"/>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438912</wp:posOffset>
              </wp:positionH>
              <wp:positionV relativeFrom="page">
                <wp:posOffset>10024567</wp:posOffset>
              </wp:positionV>
              <wp:extent cx="6684010" cy="6096"/>
              <wp:effectExtent l="0" t="0" r="0" b="0"/>
              <wp:wrapSquare wrapText="bothSides"/>
              <wp:docPr id="3738" name="Group 3738"/>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996" name="Shape 3996"/>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38" style="width:526.3pt;height:0.47998pt;position:absolute;mso-position-horizontal-relative:page;mso-position-horizontal:absolute;margin-left:34.56pt;mso-position-vertical-relative:page;margin-top:789.336pt;" coordsize="66840,60">
              <v:shape id="Shape 3997" style="position:absolute;width:66840;height:91;left:0;top:0;" coordsize="6684010,9144" path="m0,0l6684010,0l6684010,9144l0,9144l0,0">
                <v:stroke weight="0pt" endcap="flat" joinstyle="miter" miterlimit="10" on="false" color="#000000" opacity="0"/>
                <v:fill on="true" color="#000000"/>
              </v:shape>
              <w10:wrap type="square"/>
            </v:group>
          </w:pict>
        </mc:Fallback>
      </mc:AlternateContent>
    </w:r>
    <w:r>
      <w:t xml:space="preserve">Approved by Governors: Nov 2020 </w:t>
    </w:r>
    <w:r>
      <w:tab/>
    </w:r>
    <w:r>
      <w:fldChar w:fldCharType="begin"/>
    </w:r>
    <w:r>
      <w:instrText xml:space="preserve"> PAGE   \* MERGEFORMAT </w:instrText>
    </w:r>
    <w:r>
      <w:fldChar w:fldCharType="separate"/>
    </w:r>
    <w:r>
      <w:t>1</w:t>
    </w:r>
    <w:r>
      <w:fldChar w:fldCharType="end"/>
    </w:r>
    <w:r>
      <w:t xml:space="preserve"> </w:t>
    </w:r>
    <w:r>
      <w:tab/>
      <w:t xml:space="preserve">Review date: Nov 2021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37" w:rsidRDefault="00A80237">
      <w:pPr>
        <w:spacing w:after="0" w:line="240" w:lineRule="auto"/>
      </w:pPr>
      <w:r>
        <w:separator/>
      </w:r>
    </w:p>
  </w:footnote>
  <w:footnote w:type="continuationSeparator" w:id="0">
    <w:p w:rsidR="00A80237" w:rsidRDefault="00A80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C9" w:rsidRDefault="00A80237">
    <w:pPr>
      <w:spacing w:after="0" w:line="259" w:lineRule="auto"/>
      <w:ind w:left="0" w:right="0"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696468</wp:posOffset>
              </wp:positionV>
              <wp:extent cx="6684010" cy="6096"/>
              <wp:effectExtent l="0" t="0" r="0" b="0"/>
              <wp:wrapSquare wrapText="bothSides"/>
              <wp:docPr id="3788" name="Group 3788"/>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994" name="Shape 399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88" style="width:526.3pt;height:0.47998pt;position:absolute;mso-position-horizontal-relative:page;mso-position-horizontal:absolute;margin-left:34.56pt;mso-position-vertical-relative:page;margin-top:54.84pt;" coordsize="66840,60">
              <v:shape id="Shape 3995" style="position:absolute;width:66840;height:91;left:0;top:0;" coordsize="6684010,9144" path="m0,0l6684010,0l6684010,9144l0,9144l0,0">
                <v:stroke weight="0pt" endcap="flat" joinstyle="miter" miterlimit="10" on="false" color="#000000" opacity="0"/>
                <v:fill on="true" color="#000000"/>
              </v:shape>
              <w10:wrap type="square"/>
            </v:group>
          </w:pict>
        </mc:Fallback>
      </mc:AlternateContent>
    </w:r>
    <w:r>
      <w:rPr>
        <w:rFonts w:ascii="Tahoma" w:eastAsia="Tahoma" w:hAnsi="Tahoma" w:cs="Tahoma"/>
        <w:b/>
        <w:sz w:val="22"/>
      </w:rPr>
      <w:t xml:space="preserve">Charges &amp; Remissions Policy                                                         South Wingfield Primary School </w:t>
    </w:r>
  </w:p>
  <w:p w:rsidR="008471C9" w:rsidRDefault="00A80237">
    <w:pPr>
      <w:spacing w:after="84" w:line="259" w:lineRule="auto"/>
      <w:ind w:left="0" w:right="0" w:firstLine="0"/>
    </w:pPr>
    <w:r>
      <w:t xml:space="preserve"> </w:t>
    </w:r>
  </w:p>
  <w:p w:rsidR="008471C9" w:rsidRDefault="00A80237">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C9" w:rsidRDefault="008471C9">
    <w:pPr>
      <w:spacing w:after="0" w:line="259" w:lineRule="auto"/>
      <w:ind w:left="0" w:righ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C9" w:rsidRDefault="00A80237">
    <w:pPr>
      <w:spacing w:after="0" w:line="259" w:lineRule="auto"/>
      <w:ind w:left="0" w:right="0" w:firstLine="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438912</wp:posOffset>
              </wp:positionH>
              <wp:positionV relativeFrom="page">
                <wp:posOffset>696468</wp:posOffset>
              </wp:positionV>
              <wp:extent cx="6684010" cy="6096"/>
              <wp:effectExtent l="0" t="0" r="0" b="0"/>
              <wp:wrapSquare wrapText="bothSides"/>
              <wp:docPr id="3712" name="Group 3712"/>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990" name="Shape 3990"/>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12" style="width:526.3pt;height:0.47998pt;position:absolute;mso-position-horizontal-relative:page;mso-position-horizontal:absolute;margin-left:34.56pt;mso-position-vertical-relative:page;margin-top:54.84pt;" coordsize="66840,60">
              <v:shape id="Shape 3991" style="position:absolute;width:66840;height:91;left:0;top:0;" coordsize="6684010,9144" path="m0,0l6684010,0l6684010,9144l0,9144l0,0">
                <v:stroke weight="0pt" endcap="flat" joinstyle="miter" miterlimit="10" on="false" color="#000000" opacity="0"/>
                <v:fill on="true" color="#000000"/>
              </v:shape>
              <w10:wrap type="square"/>
            </v:group>
          </w:pict>
        </mc:Fallback>
      </mc:AlternateContent>
    </w:r>
    <w:r>
      <w:rPr>
        <w:rFonts w:ascii="Tahoma" w:eastAsia="Tahoma" w:hAnsi="Tahoma" w:cs="Tahoma"/>
        <w:b/>
        <w:sz w:val="22"/>
      </w:rPr>
      <w:t xml:space="preserve">Charges &amp; Remissions Policy                                                         South Wingfield Primary School </w:t>
    </w:r>
  </w:p>
  <w:p w:rsidR="008471C9" w:rsidRDefault="00A80237">
    <w:pPr>
      <w:spacing w:after="84" w:line="259" w:lineRule="auto"/>
      <w:ind w:left="0" w:right="0" w:firstLine="0"/>
    </w:pPr>
    <w:r>
      <w:t xml:space="preserve"> </w:t>
    </w:r>
  </w:p>
  <w:p w:rsidR="008471C9" w:rsidRDefault="00A80237">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860"/>
    <w:multiLevelType w:val="hybridMultilevel"/>
    <w:tmpl w:val="06F8ADC8"/>
    <w:lvl w:ilvl="0" w:tplc="4A6A37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DAA9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EBC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BA35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66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A6CC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AABE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AC7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C0B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C9"/>
    <w:rsid w:val="008471C9"/>
    <w:rsid w:val="008960C6"/>
    <w:rsid w:val="00A8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3DB1"/>
  <w15:docId w15:val="{251B6C21-C03F-4824-B6C9-B4104636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right="50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0"/>
      <w:ind w:left="36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5B58-8873-454A-A23F-430D4472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Sex Education Policy</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Education Policy</dc:title>
  <dc:subject/>
  <dc:creator>South Wingfield Primary School</dc:creator>
  <cp:keywords/>
  <cp:lastModifiedBy>Melissa Kealy</cp:lastModifiedBy>
  <cp:revision>2</cp:revision>
  <dcterms:created xsi:type="dcterms:W3CDTF">2023-12-06T09:42:00Z</dcterms:created>
  <dcterms:modified xsi:type="dcterms:W3CDTF">2023-12-06T09:42:00Z</dcterms:modified>
</cp:coreProperties>
</file>